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E8" w:rsidRDefault="001F7EE8" w:rsidP="00AD3BD8">
      <w:pPr>
        <w:pStyle w:val="Sinespaciado"/>
        <w:spacing w:line="34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9320D0">
        <w:rPr>
          <w:rFonts w:ascii="Times New Roman" w:hAnsi="Times New Roman"/>
          <w:sz w:val="24"/>
          <w:szCs w:val="24"/>
          <w:lang w:val="en-US"/>
        </w:rPr>
        <w:t xml:space="preserve">Synonyms for </w:t>
      </w:r>
      <w:proofErr w:type="spellStart"/>
      <w:r w:rsidRPr="009320D0">
        <w:rPr>
          <w:rFonts w:ascii="Times New Roman" w:hAnsi="Times New Roman"/>
          <w:i/>
          <w:sz w:val="24"/>
          <w:szCs w:val="24"/>
          <w:lang w:val="en-US"/>
        </w:rPr>
        <w:t>Zephyranthes</w:t>
      </w:r>
      <w:proofErr w:type="spellEnd"/>
      <w:r w:rsidRPr="009320D0">
        <w:rPr>
          <w:rFonts w:ascii="Times New Roman" w:hAnsi="Times New Roman"/>
          <w:sz w:val="24"/>
          <w:szCs w:val="24"/>
          <w:lang w:val="en-US"/>
        </w:rPr>
        <w:t xml:space="preserve"> species chemically studied, as registered by the Missouri Botanical Garden (</w:t>
      </w:r>
      <w:r w:rsidRPr="009320D0">
        <w:rPr>
          <w:rFonts w:ascii="Times New Roman" w:hAnsi="Times New Roman"/>
          <w:lang w:val="en-US"/>
        </w:rPr>
        <w:t>http://www.tropicos.org/Home.aspx</w:t>
      </w:r>
      <w:r w:rsidRPr="009320D0">
        <w:rPr>
          <w:rFonts w:ascii="Times New Roman" w:hAnsi="Times New Roman"/>
          <w:sz w:val="24"/>
          <w:szCs w:val="24"/>
          <w:lang w:val="en-US"/>
        </w:rPr>
        <w:t>).</w:t>
      </w:r>
    </w:p>
    <w:p w:rsidR="001F7EE8" w:rsidRDefault="001F7EE8" w:rsidP="00AD3BD8">
      <w:pPr>
        <w:pStyle w:val="Sinespaciado"/>
        <w:spacing w:line="340" w:lineRule="atLeas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7EE8" w:rsidRDefault="001F7EE8" w:rsidP="00AD3BD8">
      <w:pPr>
        <w:pStyle w:val="Sinespaciado"/>
        <w:spacing w:line="340" w:lineRule="atLeast"/>
        <w:ind w:left="480" w:hanging="480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/>
          <w:bCs/>
          <w:i/>
          <w:sz w:val="24"/>
          <w:szCs w:val="24"/>
          <w:lang w:val="en-GB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andersoniana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val="en-GB"/>
        </w:rPr>
        <w:t xml:space="preserve"> Name not found, probably written incorrectly instead of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andersonii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(Herb. ex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.) Baker: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Habranthus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andersonii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Herb. </w:t>
      </w:r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>ex</w:t>
      </w:r>
      <w:proofErr w:type="gram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.;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Habranthus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tubispathus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L´Hér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.)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>Traub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>.</w:t>
      </w:r>
      <w:proofErr w:type="gramEnd"/>
    </w:p>
    <w:p w:rsidR="001F7EE8" w:rsidRDefault="001F7EE8" w:rsidP="00AD3BD8">
      <w:pPr>
        <w:pStyle w:val="Sinespaciado"/>
        <w:spacing w:line="340" w:lineRule="atLeast"/>
        <w:ind w:left="480" w:hanging="480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Cs/>
          <w:i/>
          <w:sz w:val="24"/>
          <w:szCs w:val="24"/>
          <w:lang w:val="en-US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concolor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.)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Benth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&amp; Hook. f.: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Habranthus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concolor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.;</w:t>
      </w:r>
      <w:proofErr w:type="gram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Hippeastrum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concolor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Lindl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.)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Baker.</w:t>
      </w:r>
      <w:proofErr w:type="gramEnd"/>
    </w:p>
    <w:p w:rsidR="001F7EE8" w:rsidRDefault="001F7EE8" w:rsidP="00AD3BD8">
      <w:pPr>
        <w:pStyle w:val="Sinespaciado"/>
        <w:spacing w:line="340" w:lineRule="atLeast"/>
        <w:ind w:left="480" w:hanging="4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i/>
          <w:sz w:val="24"/>
          <w:szCs w:val="24"/>
          <w:lang w:val="en-US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candida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(Lind.)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Herb.: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Amaryllis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candida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Stapf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Traub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&amp;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Uphof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Amaryllis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candida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.; 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Amaryllis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nivea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Schult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&amp;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Schult.f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.;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s-ES"/>
        </w:rPr>
        <w:t>Argyropsis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s-ES"/>
        </w:rPr>
        <w:t>candida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 xml:space="preserve">.) </w:t>
      </w:r>
      <w:r>
        <w:rPr>
          <w:rFonts w:ascii="Times New Roman" w:hAnsi="Times New Roman"/>
          <w:bCs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bCs/>
          <w:sz w:val="24"/>
          <w:szCs w:val="24"/>
        </w:rPr>
        <w:t>Roem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.;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Atamosco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.) </w:t>
      </w:r>
      <w:proofErr w:type="spellStart"/>
      <w:r>
        <w:rPr>
          <w:rFonts w:ascii="Times New Roman" w:hAnsi="Times New Roman"/>
          <w:bCs/>
          <w:sz w:val="24"/>
          <w:szCs w:val="24"/>
        </w:rPr>
        <w:t>Sasaki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Atamosco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.) Small.;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Plectronema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.) </w:t>
      </w:r>
      <w:proofErr w:type="spellStart"/>
      <w:r>
        <w:rPr>
          <w:rFonts w:ascii="Times New Roman" w:hAnsi="Times New Roman"/>
          <w:bCs/>
          <w:sz w:val="24"/>
          <w:szCs w:val="24"/>
        </w:rPr>
        <w:t>Raf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1F7EE8" w:rsidRDefault="001F7EE8" w:rsidP="00AD3BD8">
      <w:pPr>
        <w:pStyle w:val="Sinespaciado"/>
        <w:spacing w:line="340" w:lineRule="atLeast"/>
        <w:ind w:left="480" w:hanging="4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carinata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Herb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Amaryllis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carinata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Herb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.) </w:t>
      </w:r>
      <w:proofErr w:type="spellStart"/>
      <w:r>
        <w:rPr>
          <w:rFonts w:ascii="Times New Roman" w:hAnsi="Times New Roman"/>
          <w:bCs/>
          <w:sz w:val="24"/>
          <w:szCs w:val="24"/>
        </w:rPr>
        <w:t>Spreng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.;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Atamosco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carinata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Herb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.) P. Wilson;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Atamosco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carinata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Standl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.;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Pogonema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carinata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Herb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.) </w:t>
      </w:r>
      <w:proofErr w:type="spellStart"/>
      <w:r>
        <w:rPr>
          <w:rFonts w:ascii="Times New Roman" w:hAnsi="Times New Roman"/>
          <w:bCs/>
          <w:sz w:val="24"/>
          <w:szCs w:val="24"/>
        </w:rPr>
        <w:t>Raf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.;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grandiflora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1F7EE8" w:rsidRDefault="001F7EE8" w:rsidP="00AD3BD8">
      <w:pPr>
        <w:pStyle w:val="Sinespaciado"/>
        <w:spacing w:line="340" w:lineRule="atLeast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citrina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Baker: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Atamasco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eggersiana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Urb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.) </w:t>
      </w:r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 xml:space="preserve">Britton;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eggresiana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Urb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:rsidR="001F7EE8" w:rsidRDefault="001F7EE8" w:rsidP="00AD3BD8">
      <w:pPr>
        <w:pStyle w:val="Sinespaciado"/>
        <w:spacing w:line="340" w:lineRule="atLeast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/>
          <w:bCs/>
          <w:i/>
          <w:iCs/>
          <w:sz w:val="24"/>
          <w:szCs w:val="24"/>
          <w:lang w:val="en-GB"/>
        </w:rPr>
        <w:t>Zephyranthes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en-GB"/>
        </w:rPr>
        <w:t>flava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(Herb.)</w:t>
      </w:r>
      <w:proofErr w:type="gramEnd"/>
      <w:r>
        <w:rPr>
          <w:rFonts w:ascii="Times New Roman" w:hAnsi="Times New Roman"/>
          <w:bCs/>
          <w:sz w:val="24"/>
          <w:szCs w:val="24"/>
          <w:lang w:val="en-GB"/>
        </w:rPr>
        <w:t xml:space="preserve"> Baker: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en-GB"/>
        </w:rPr>
        <w:t>Pyrolirion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en-GB"/>
        </w:rPr>
        <w:t>flavum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>Herb.;</w:t>
      </w:r>
      <w:proofErr w:type="gram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en-GB"/>
        </w:rPr>
        <w:t>Zephyranthes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en-GB"/>
        </w:rPr>
        <w:t>beustii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Schinz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</w:p>
    <w:p w:rsidR="001F7EE8" w:rsidRDefault="001F7EE8" w:rsidP="00AD3BD8">
      <w:pPr>
        <w:pStyle w:val="Sinespaciado"/>
        <w:spacing w:line="340" w:lineRule="atLeast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grandiflora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>.:</w:t>
      </w:r>
      <w:proofErr w:type="gram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carinata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Herb.;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GB"/>
        </w:rPr>
        <w:t>macrosiphon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Baker. </w:t>
      </w:r>
    </w:p>
    <w:p w:rsidR="001F7EE8" w:rsidRDefault="001F7EE8" w:rsidP="00AD3BD8">
      <w:pPr>
        <w:pStyle w:val="Sinespaciado"/>
        <w:spacing w:line="340" w:lineRule="atLeast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Cs/>
          <w:i/>
          <w:sz w:val="24"/>
          <w:szCs w:val="24"/>
          <w:lang w:val="en-US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robusta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(Herb.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Ex Sweet)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Baker.: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Habranthus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robustus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Herb.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Ex Sweet.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1F7EE8" w:rsidRDefault="001F7EE8" w:rsidP="00AD3BD8">
      <w:pPr>
        <w:pStyle w:val="Sinespaciado"/>
        <w:spacing w:line="340" w:lineRule="atLeast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rosea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.: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Amaryllis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carnea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Schult.f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.; 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Amaryllis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rosea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Lindl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)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Spreng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1F7EE8" w:rsidRDefault="001F7EE8" w:rsidP="00AD3BD8">
      <w:pPr>
        <w:pStyle w:val="Sinespaciado"/>
        <w:spacing w:line="340" w:lineRule="atLeast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sulphurea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hort.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Name not found, probably </w:t>
      </w:r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>an</w:t>
      </w:r>
      <w:proofErr w:type="gramEnd"/>
      <w:r>
        <w:rPr>
          <w:rFonts w:ascii="Times New Roman" w:hAnsi="Times New Roman"/>
          <w:bCs/>
          <w:sz w:val="24"/>
          <w:szCs w:val="24"/>
          <w:lang w:val="en-GB"/>
        </w:rPr>
        <w:t xml:space="preserve"> horticultural name.</w:t>
      </w:r>
    </w:p>
    <w:p w:rsidR="004F55E4" w:rsidRPr="00AD3BD8" w:rsidRDefault="001F7EE8" w:rsidP="00AD3BD8">
      <w:pPr>
        <w:pStyle w:val="Sinespaciado"/>
        <w:spacing w:line="340" w:lineRule="atLeast"/>
        <w:ind w:left="480" w:hanging="4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Cs/>
          <w:i/>
          <w:sz w:val="24"/>
          <w:szCs w:val="24"/>
          <w:lang w:val="en-US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tubispatha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L´Hér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.)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Herb.: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Amaryllis nervosa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Kunth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.; 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Amaryllis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tubispatha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Ker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Gawl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.;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Zephyranthes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lindleyana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Herb.;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Zeph</w:t>
      </w:r>
      <w:r>
        <w:rPr>
          <w:rFonts w:ascii="Times New Roman" w:hAnsi="Times New Roman"/>
          <w:i/>
          <w:sz w:val="24"/>
          <w:szCs w:val="24"/>
          <w:lang w:val="en-US"/>
        </w:rPr>
        <w:t>yranthes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mesochloa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Herb.;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Zephyranthes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nervosa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Kunth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 Herb.</w:t>
      </w:r>
    </w:p>
    <w:sectPr w:rsidR="004F55E4" w:rsidRPr="00AD3BD8" w:rsidSect="001F7EE8">
      <w:pgSz w:w="11907" w:h="16839" w:code="9"/>
      <w:pgMar w:top="992" w:right="992" w:bottom="992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F7EE8"/>
    <w:rsid w:val="001F7EE8"/>
    <w:rsid w:val="004F55E4"/>
    <w:rsid w:val="005A12D6"/>
    <w:rsid w:val="008961B2"/>
    <w:rsid w:val="00A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espaciado">
    <w:name w:val="Sin espaciado"/>
    <w:rsid w:val="001F7EE8"/>
    <w:pPr>
      <w:spacing w:after="0" w:line="240" w:lineRule="auto"/>
    </w:pPr>
    <w:rPr>
      <w:rFonts w:ascii="Calibri" w:eastAsia="Calibri" w:hAnsi="Calibri" w:cs="Times New Roman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>MDPI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6</cp:revision>
  <dcterms:created xsi:type="dcterms:W3CDTF">2011-11-15T05:49:00Z</dcterms:created>
  <dcterms:modified xsi:type="dcterms:W3CDTF">2011-11-15T05:51:00Z</dcterms:modified>
</cp:coreProperties>
</file>